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NoSpacing"/>
        <w:jc w:val="center"/>
        <w:rPr>
          <w:b/>
          <w:bCs/>
          <w:sz w:val="28"/>
          <w:szCs w:val="44"/>
        </w:rPr>
      </w:pPr>
      <w:r>
        <w:rPr>
          <w:b/>
          <w:bCs/>
          <w:sz w:val="28"/>
          <w:szCs w:val="44"/>
        </w:rPr>
        <w:t>CODE OF CONDUCT</w:t>
      </w:r>
    </w:p>
    <w:p>
      <w:pPr>
        <w:pStyle w:val="NoSpacing"/>
        <w:jc w:val="both"/>
      </w:pPr>
    </w:p>
    <w:p>
      <w:pPr>
        <w:pStyle w:val="NoSpacing"/>
        <w:jc w:val="both"/>
        <w:rPr>
          <w:b/>
          <w:bCs/>
          <w:sz w:val="24"/>
          <w:szCs w:val="40"/>
        </w:rPr>
      </w:pPr>
      <w:r>
        <w:rPr>
          <w:b/>
          <w:bCs/>
          <w:sz w:val="24"/>
          <w:szCs w:val="40"/>
        </w:rPr>
        <w:t>1. Purpose and Guiding Principles</w:t>
      </w:r>
    </w:p>
    <w:p>
      <w:pPr>
        <w:pStyle w:val="NoSpacing"/>
        <w:jc w:val="both"/>
        <w:rPr>
          <w:sz w:val="24"/>
          <w:szCs w:val="40"/>
        </w:rPr>
      </w:pPr>
    </w:p>
    <w:p>
      <w:pPr>
        <w:pStyle w:val="NoSpacing"/>
        <w:jc w:val="both"/>
        <w:rPr>
          <w:sz w:val="24"/>
          <w:szCs w:val="40"/>
        </w:rPr>
      </w:pPr>
      <w:r>
        <w:rPr>
          <w:sz w:val="24"/>
          <w:szCs w:val="40"/>
        </w:rPr>
        <w:t>The Code of Conduct establishes ethical, professional, and responsible standards for all CTA’s members to ensure trust, transparency, and integrity in Cambodia’s trust sector. CTA’s members shall uphold the highest standards of professionalism, legal compliance, accountability, client protection, and public confidence.</w:t>
      </w:r>
    </w:p>
    <w:p>
      <w:pPr>
        <w:pStyle w:val="NoSpacing"/>
        <w:jc w:val="both"/>
        <w:rPr>
          <w:sz w:val="24"/>
          <w:szCs w:val="40"/>
        </w:rPr>
      </w:pPr>
    </w:p>
    <w:p>
      <w:pPr>
        <w:pStyle w:val="NoSpacing"/>
        <w:jc w:val="both"/>
        <w:rPr>
          <w:b/>
          <w:bCs/>
          <w:sz w:val="24"/>
          <w:szCs w:val="40"/>
        </w:rPr>
      </w:pPr>
      <w:r>
        <w:rPr>
          <w:b/>
          <w:bCs/>
          <w:sz w:val="24"/>
          <w:szCs w:val="40"/>
        </w:rPr>
        <w:t>2. Scope of Application</w:t>
      </w:r>
    </w:p>
    <w:p>
      <w:pPr>
        <w:pStyle w:val="NoSpacing"/>
        <w:jc w:val="both"/>
        <w:rPr>
          <w:sz w:val="24"/>
          <w:szCs w:val="40"/>
        </w:rPr>
      </w:pPr>
    </w:p>
    <w:p>
      <w:pPr>
        <w:pStyle w:val="NoSpacing"/>
        <w:jc w:val="both"/>
        <w:rPr>
          <w:sz w:val="24"/>
          <w:szCs w:val="40"/>
        </w:rPr>
      </w:pPr>
      <w:r>
        <w:rPr>
          <w:sz w:val="24"/>
          <w:szCs w:val="40"/>
        </w:rPr>
        <w:t>This Code applies to:</w:t>
      </w:r>
    </w:p>
    <w:p>
      <w:pPr>
        <w:pStyle w:val="NoSpacing"/>
        <w:numPr>
          <w:ilvl w:val="0"/>
          <w:numId w:val="2"/>
        </w:numPr>
        <w:jc w:val="both"/>
        <w:rPr>
          <w:sz w:val="24"/>
          <w:szCs w:val="40"/>
        </w:rPr>
      </w:pPr>
      <w:r>
        <w:rPr>
          <w:sz w:val="24"/>
          <w:szCs w:val="40"/>
        </w:rPr>
        <w:t>All CTA’s members (corporate, individual, associate and honorary members)</w:t>
      </w:r>
    </w:p>
    <w:p>
      <w:pPr>
        <w:pStyle w:val="NoSpacing"/>
        <w:numPr>
          <w:ilvl w:val="0"/>
          <w:numId w:val="2"/>
        </w:numPr>
        <w:jc w:val="both"/>
        <w:rPr>
          <w:sz w:val="24"/>
          <w:szCs w:val="40"/>
        </w:rPr>
      </w:pPr>
      <w:r>
        <w:rPr>
          <w:sz w:val="24"/>
          <w:szCs w:val="40"/>
        </w:rPr>
        <w:t>CTA’s committees and working groups</w:t>
      </w:r>
    </w:p>
    <w:p>
      <w:pPr>
        <w:pStyle w:val="NoSpacing"/>
        <w:numPr>
          <w:ilvl w:val="0"/>
          <w:numId w:val="2"/>
        </w:numPr>
        <w:jc w:val="both"/>
        <w:rPr>
          <w:sz w:val="24"/>
          <w:szCs w:val="40"/>
        </w:rPr>
      </w:pPr>
      <w:r>
        <w:rPr>
          <w:sz w:val="24"/>
          <w:szCs w:val="40"/>
        </w:rPr>
        <w:t>Registered trust service providers</w:t>
      </w:r>
    </w:p>
    <w:p>
      <w:pPr>
        <w:pStyle w:val="NoSpacing"/>
        <w:numPr>
          <w:ilvl w:val="0"/>
          <w:numId w:val="2"/>
        </w:numPr>
        <w:jc w:val="both"/>
        <w:rPr>
          <w:sz w:val="24"/>
          <w:szCs w:val="40"/>
        </w:rPr>
      </w:pPr>
      <w:r>
        <w:rPr>
          <w:sz w:val="24"/>
          <w:szCs w:val="40"/>
        </w:rPr>
        <w:t>Any representative acting on behalf of CTA</w:t>
      </w:r>
    </w:p>
    <w:p>
      <w:pPr>
        <w:pStyle w:val="NoSpacing"/>
        <w:jc w:val="both"/>
        <w:rPr>
          <w:sz w:val="24"/>
          <w:szCs w:val="40"/>
        </w:rPr>
      </w:pPr>
    </w:p>
    <w:p>
      <w:pPr>
        <w:pStyle w:val="NoSpacing"/>
        <w:jc w:val="both"/>
        <w:rPr>
          <w:b/>
          <w:bCs/>
          <w:sz w:val="24"/>
          <w:szCs w:val="40"/>
        </w:rPr>
      </w:pPr>
      <w:r>
        <w:rPr>
          <w:b/>
          <w:bCs/>
          <w:sz w:val="24"/>
          <w:szCs w:val="40"/>
        </w:rPr>
        <w:t>3. Core Values</w:t>
      </w:r>
    </w:p>
    <w:p>
      <w:pPr>
        <w:pStyle w:val="NoSpacing"/>
        <w:jc w:val="both"/>
        <w:rPr>
          <w:sz w:val="24"/>
          <w:szCs w:val="40"/>
        </w:rPr>
      </w:pPr>
    </w:p>
    <w:p>
      <w:pPr>
        <w:pStyle w:val="NoSpacing"/>
        <w:jc w:val="both"/>
        <w:rPr>
          <w:sz w:val="24"/>
          <w:szCs w:val="40"/>
        </w:rPr>
      </w:pPr>
      <w:r>
        <w:rPr>
          <w:sz w:val="24"/>
          <w:szCs w:val="40"/>
        </w:rPr>
        <w:t>CTA’s members commit to the following values:</w:t>
      </w:r>
    </w:p>
    <w:p>
      <w:pPr>
        <w:pStyle w:val="NoSpacing"/>
        <w:numPr>
          <w:ilvl w:val="0"/>
          <w:numId w:val="4"/>
        </w:numPr>
        <w:jc w:val="both"/>
        <w:rPr>
          <w:sz w:val="24"/>
          <w:szCs w:val="40"/>
        </w:rPr>
      </w:pPr>
      <w:r>
        <w:rPr>
          <w:b/>
          <w:bCs/>
          <w:i/>
          <w:iCs/>
          <w:sz w:val="24"/>
          <w:szCs w:val="40"/>
        </w:rPr>
        <w:t>Integrity</w:t>
      </w:r>
      <w:r>
        <w:rPr>
          <w:sz w:val="24"/>
          <w:szCs w:val="40"/>
        </w:rPr>
        <w:t xml:space="preserve"> – Act honestly, independently, and with strong moral principles.</w:t>
      </w:r>
    </w:p>
    <w:p>
      <w:pPr>
        <w:pStyle w:val="NoSpacing"/>
        <w:numPr>
          <w:ilvl w:val="0"/>
          <w:numId w:val="4"/>
        </w:numPr>
        <w:jc w:val="both"/>
        <w:rPr>
          <w:sz w:val="24"/>
          <w:szCs w:val="40"/>
        </w:rPr>
      </w:pPr>
      <w:r>
        <w:rPr>
          <w:b/>
          <w:bCs/>
          <w:i/>
          <w:iCs/>
          <w:sz w:val="24"/>
          <w:szCs w:val="40"/>
        </w:rPr>
        <w:t>Professionalism</w:t>
      </w:r>
      <w:r>
        <w:rPr>
          <w:sz w:val="24"/>
          <w:szCs w:val="40"/>
        </w:rPr>
        <w:t xml:space="preserve"> – Deliver competent, reliable, and high-quality trust services.</w:t>
      </w:r>
    </w:p>
    <w:p>
      <w:pPr>
        <w:pStyle w:val="NoSpacing"/>
        <w:numPr>
          <w:ilvl w:val="0"/>
          <w:numId w:val="4"/>
        </w:numPr>
        <w:jc w:val="both"/>
        <w:rPr>
          <w:sz w:val="24"/>
          <w:szCs w:val="40"/>
        </w:rPr>
      </w:pPr>
      <w:r>
        <w:rPr>
          <w:b/>
          <w:bCs/>
          <w:i/>
          <w:iCs/>
          <w:sz w:val="24"/>
          <w:szCs w:val="40"/>
        </w:rPr>
        <w:t>Confidentiality</w:t>
      </w:r>
      <w:r>
        <w:rPr>
          <w:sz w:val="24"/>
          <w:szCs w:val="40"/>
        </w:rPr>
        <w:t xml:space="preserve"> – Protect client information with utmost care.</w:t>
      </w:r>
    </w:p>
    <w:p>
      <w:pPr>
        <w:pStyle w:val="NoSpacing"/>
        <w:numPr>
          <w:ilvl w:val="0"/>
          <w:numId w:val="4"/>
        </w:numPr>
        <w:jc w:val="both"/>
        <w:rPr>
          <w:sz w:val="24"/>
          <w:szCs w:val="40"/>
        </w:rPr>
      </w:pPr>
      <w:r>
        <w:rPr>
          <w:b/>
          <w:bCs/>
          <w:i/>
          <w:iCs/>
          <w:sz w:val="24"/>
          <w:szCs w:val="40"/>
        </w:rPr>
        <w:t>Compliance</w:t>
      </w:r>
      <w:r>
        <w:rPr>
          <w:sz w:val="24"/>
          <w:szCs w:val="40"/>
        </w:rPr>
        <w:t xml:space="preserve"> – Adhere to Cambodian laws, regulations, and CTA’s policies, manual and guidelines.</w:t>
      </w:r>
    </w:p>
    <w:p>
      <w:pPr>
        <w:pStyle w:val="NoSpacing"/>
        <w:numPr>
          <w:ilvl w:val="0"/>
          <w:numId w:val="4"/>
        </w:numPr>
        <w:jc w:val="both"/>
        <w:rPr>
          <w:sz w:val="24"/>
          <w:szCs w:val="40"/>
        </w:rPr>
      </w:pPr>
      <w:r>
        <w:rPr>
          <w:b/>
          <w:bCs/>
          <w:i/>
          <w:iCs/>
          <w:sz w:val="24"/>
          <w:szCs w:val="40"/>
        </w:rPr>
        <w:t>Fairness</w:t>
      </w:r>
      <w:r>
        <w:rPr>
          <w:sz w:val="24"/>
          <w:szCs w:val="40"/>
        </w:rPr>
        <w:t xml:space="preserve"> – Treat all stakeholders with respect, equality, and impartiality.</w:t>
      </w:r>
    </w:p>
    <w:p>
      <w:pPr>
        <w:pStyle w:val="NoSpacing"/>
        <w:numPr>
          <w:ilvl w:val="0"/>
          <w:numId w:val="4"/>
        </w:numPr>
        <w:jc w:val="both"/>
        <w:rPr>
          <w:sz w:val="24"/>
          <w:szCs w:val="40"/>
        </w:rPr>
      </w:pPr>
      <w:r>
        <w:rPr>
          <w:b/>
          <w:bCs/>
          <w:i/>
          <w:iCs/>
          <w:sz w:val="24"/>
          <w:szCs w:val="40"/>
        </w:rPr>
        <w:t>Accountability</w:t>
      </w:r>
      <w:r>
        <w:rPr>
          <w:sz w:val="24"/>
          <w:szCs w:val="40"/>
        </w:rPr>
        <w:t xml:space="preserve"> – Take responsibility for decisions, actions, and outcomes.</w:t>
      </w:r>
    </w:p>
    <w:p>
      <w:pPr>
        <w:pStyle w:val="NoSpacing"/>
        <w:jc w:val="both"/>
        <w:rPr>
          <w:sz w:val="24"/>
          <w:szCs w:val="40"/>
        </w:rPr>
      </w:pPr>
    </w:p>
    <w:p>
      <w:pPr>
        <w:pStyle w:val="NoSpacing"/>
        <w:jc w:val="both"/>
        <w:rPr>
          <w:b/>
          <w:bCs/>
          <w:sz w:val="24"/>
          <w:szCs w:val="40"/>
        </w:rPr>
      </w:pPr>
      <w:r>
        <w:rPr>
          <w:b/>
          <w:bCs/>
          <w:sz w:val="24"/>
          <w:szCs w:val="40"/>
        </w:rPr>
        <w:t>4. Legal and Regulatory Compliance</w:t>
      </w:r>
    </w:p>
    <w:p>
      <w:pPr>
        <w:pStyle w:val="NoSpacing"/>
        <w:jc w:val="both"/>
        <w:rPr>
          <w:sz w:val="24"/>
          <w:szCs w:val="40"/>
        </w:rPr>
      </w:pPr>
    </w:p>
    <w:p>
      <w:pPr>
        <w:pStyle w:val="NoSpacing"/>
        <w:jc w:val="both"/>
        <w:rPr>
          <w:sz w:val="24"/>
          <w:szCs w:val="40"/>
        </w:rPr>
      </w:pPr>
      <w:r>
        <w:rPr>
          <w:sz w:val="24"/>
          <w:szCs w:val="40"/>
        </w:rPr>
        <w:t>Members shall:</w:t>
      </w:r>
    </w:p>
    <w:p>
      <w:pPr>
        <w:pStyle w:val="NoSpacing"/>
        <w:numPr>
          <w:ilvl w:val="0"/>
          <w:numId w:val="2"/>
        </w:numPr>
        <w:jc w:val="both"/>
        <w:rPr>
          <w:sz w:val="24"/>
          <w:szCs w:val="40"/>
        </w:rPr>
      </w:pPr>
      <w:r>
        <w:rPr>
          <w:sz w:val="24"/>
          <w:szCs w:val="40"/>
        </w:rPr>
        <w:t>Comply with the Trust Law, Sub-decrees, Prakas, and all guidelines issued by the regulator.</w:t>
      </w:r>
    </w:p>
    <w:p>
      <w:pPr>
        <w:pStyle w:val="NoSpacing"/>
        <w:numPr>
          <w:ilvl w:val="0"/>
          <w:numId w:val="2"/>
        </w:numPr>
        <w:jc w:val="both"/>
        <w:rPr>
          <w:sz w:val="24"/>
          <w:szCs w:val="40"/>
        </w:rPr>
      </w:pPr>
      <w:r>
        <w:rPr>
          <w:sz w:val="24"/>
          <w:szCs w:val="40"/>
        </w:rPr>
        <w:t>Implement AML/CFT &amp; CPF obligations, risk assessments, and reporting requirements.</w:t>
      </w:r>
    </w:p>
    <w:p>
      <w:pPr>
        <w:pStyle w:val="NoSpacing"/>
        <w:numPr>
          <w:ilvl w:val="0"/>
          <w:numId w:val="2"/>
        </w:numPr>
        <w:jc w:val="both"/>
        <w:rPr>
          <w:sz w:val="24"/>
          <w:szCs w:val="40"/>
        </w:rPr>
      </w:pPr>
      <w:r>
        <w:rPr>
          <w:sz w:val="24"/>
          <w:szCs w:val="40"/>
        </w:rPr>
        <w:t>Avoid actions that may compromise the reputation or stability of the trust sector.</w:t>
      </w:r>
    </w:p>
    <w:p>
      <w:pPr>
        <w:pStyle w:val="NoSpacing"/>
        <w:jc w:val="both"/>
        <w:rPr>
          <w:sz w:val="24"/>
          <w:szCs w:val="40"/>
        </w:rPr>
      </w:pPr>
    </w:p>
    <w:p>
      <w:pPr>
        <w:pStyle w:val="NoSpacing"/>
        <w:jc w:val="both"/>
        <w:rPr>
          <w:b/>
          <w:bCs/>
          <w:sz w:val="24"/>
          <w:szCs w:val="40"/>
        </w:rPr>
      </w:pPr>
      <w:r>
        <w:rPr>
          <w:b/>
          <w:bCs/>
          <w:sz w:val="24"/>
          <w:szCs w:val="40"/>
        </w:rPr>
        <w:t>5. Professional Conduct and Ethical Behavior</w:t>
      </w:r>
    </w:p>
    <w:p>
      <w:pPr>
        <w:pStyle w:val="NoSpacing"/>
        <w:jc w:val="both"/>
        <w:rPr>
          <w:sz w:val="24"/>
          <w:szCs w:val="40"/>
        </w:rPr>
      </w:pPr>
    </w:p>
    <w:p>
      <w:pPr>
        <w:pStyle w:val="NoSpacing"/>
        <w:jc w:val="both"/>
        <w:rPr>
          <w:sz w:val="24"/>
          <w:szCs w:val="40"/>
        </w:rPr>
      </w:pPr>
      <w:r>
        <w:rPr>
          <w:sz w:val="24"/>
          <w:szCs w:val="40"/>
        </w:rPr>
        <w:t>Members must:</w:t>
      </w:r>
    </w:p>
    <w:p>
      <w:pPr>
        <w:pStyle w:val="NoSpacing"/>
        <w:numPr>
          <w:ilvl w:val="0"/>
          <w:numId w:val="2"/>
        </w:numPr>
        <w:jc w:val="both"/>
        <w:rPr>
          <w:sz w:val="24"/>
          <w:szCs w:val="40"/>
        </w:rPr>
      </w:pPr>
      <w:r>
        <w:rPr>
          <w:sz w:val="24"/>
          <w:szCs w:val="40"/>
        </w:rPr>
        <w:t>Serve clients with diligence, skill, care, and good faith.</w:t>
      </w:r>
    </w:p>
    <w:p>
      <w:pPr>
        <w:pStyle w:val="NoSpacing"/>
        <w:numPr>
          <w:ilvl w:val="0"/>
          <w:numId w:val="2"/>
        </w:numPr>
        <w:jc w:val="both"/>
        <w:rPr>
          <w:sz w:val="24"/>
          <w:szCs w:val="40"/>
        </w:rPr>
      </w:pPr>
      <w:r>
        <w:rPr>
          <w:sz w:val="24"/>
          <w:szCs w:val="40"/>
        </w:rPr>
        <w:t>Avoid conflicts of interest and</w:t>
      </w:r>
      <w:bookmarkStart w:id="0" w:name="_GoBack"/>
      <w:bookmarkEnd w:id="0"/>
      <w:r>
        <w:rPr>
          <w:sz w:val="24"/>
          <w:szCs w:val="40"/>
        </w:rPr>
        <w:t xml:space="preserve"> disclose unavoidable ones promptly.</w:t>
      </w:r>
    </w:p>
    <w:p>
      <w:pPr>
        <w:pStyle w:val="NoSpacing"/>
        <w:numPr>
          <w:ilvl w:val="0"/>
          <w:numId w:val="2"/>
        </w:numPr>
        <w:jc w:val="both"/>
        <w:rPr>
          <w:sz w:val="24"/>
          <w:szCs w:val="40"/>
        </w:rPr>
      </w:pPr>
      <w:r>
        <w:rPr>
          <w:sz w:val="24"/>
          <w:szCs w:val="40"/>
        </w:rPr>
        <w:t>Refrain from misleading, deceptive, or fraudulent practices.</w:t>
      </w:r>
    </w:p>
    <w:p>
      <w:pPr>
        <w:pStyle w:val="NoSpacing"/>
        <w:numPr>
          <w:ilvl w:val="0"/>
          <w:numId w:val="2"/>
        </w:numPr>
        <w:jc w:val="both"/>
        <w:rPr>
          <w:sz w:val="24"/>
          <w:szCs w:val="40"/>
        </w:rPr>
      </w:pPr>
      <w:r>
        <w:rPr>
          <w:sz w:val="24"/>
          <w:szCs w:val="40"/>
        </w:rPr>
        <w:t>Maintain accurate records, transparent pricing, and fair communication.</w:t>
      </w:r>
    </w:p>
    <w:p>
      <w:pPr>
        <w:pStyle w:val="NoSpacing"/>
        <w:numPr>
          <w:ilvl w:val="0"/>
          <w:numId w:val="2"/>
        </w:numPr>
        <w:jc w:val="both"/>
        <w:rPr>
          <w:sz w:val="24"/>
          <w:szCs w:val="40"/>
        </w:rPr>
      </w:pPr>
      <w:r>
        <w:rPr>
          <w:sz w:val="24"/>
          <w:szCs w:val="40"/>
        </w:rPr>
        <w:t>Avoid accepting gifts or benefits that may influence judgment.</w:t>
      </w:r>
    </w:p>
    <w:p>
      <w:pPr>
        <w:pStyle w:val="NoSpacing"/>
        <w:jc w:val="both"/>
        <w:rPr>
          <w:sz w:val="24"/>
          <w:szCs w:val="40"/>
        </w:rPr>
      </w:pPr>
    </w:p>
    <w:p>
      <w:pPr>
        <w:pStyle w:val="NoSpacing"/>
        <w:jc w:val="both"/>
        <w:rPr>
          <w:b/>
          <w:bCs/>
          <w:sz w:val="24"/>
          <w:szCs w:val="40"/>
        </w:rPr>
      </w:pPr>
      <w:r>
        <w:rPr>
          <w:b/>
          <w:bCs/>
          <w:sz w:val="24"/>
          <w:szCs w:val="40"/>
        </w:rPr>
        <w:t>6. Confidentiality and Data Protection</w:t>
      </w:r>
    </w:p>
    <w:p>
      <w:pPr>
        <w:pStyle w:val="NoSpacing"/>
        <w:jc w:val="both"/>
        <w:rPr>
          <w:sz w:val="24"/>
          <w:szCs w:val="40"/>
        </w:rPr>
      </w:pPr>
    </w:p>
    <w:p>
      <w:pPr>
        <w:pStyle w:val="NoSpacing"/>
        <w:jc w:val="both"/>
        <w:rPr>
          <w:sz w:val="24"/>
          <w:szCs w:val="40"/>
        </w:rPr>
      </w:pPr>
      <w:r>
        <w:rPr>
          <w:sz w:val="24"/>
          <w:szCs w:val="40"/>
        </w:rPr>
        <w:t>CTA’s members must:</w:t>
      </w:r>
    </w:p>
    <w:p>
      <w:pPr>
        <w:pStyle w:val="NoSpacing"/>
        <w:numPr>
          <w:ilvl w:val="0"/>
          <w:numId w:val="2"/>
        </w:numPr>
        <w:jc w:val="both"/>
        <w:rPr>
          <w:sz w:val="24"/>
          <w:szCs w:val="40"/>
        </w:rPr>
      </w:pPr>
      <w:r>
        <w:rPr>
          <w:sz w:val="24"/>
          <w:szCs w:val="40"/>
        </w:rPr>
        <w:t>Protect confidential and personal data in accordance with laws.</w:t>
      </w:r>
    </w:p>
    <w:p>
      <w:pPr>
        <w:pStyle w:val="NoSpacing"/>
        <w:numPr>
          <w:ilvl w:val="0"/>
          <w:numId w:val="2"/>
        </w:numPr>
        <w:jc w:val="both"/>
        <w:rPr>
          <w:sz w:val="24"/>
          <w:szCs w:val="40"/>
        </w:rPr>
      </w:pPr>
      <w:r>
        <w:rPr>
          <w:sz w:val="24"/>
          <w:szCs w:val="40"/>
        </w:rPr>
        <w:t>Use client information solely for authorized purposes.</w:t>
      </w:r>
    </w:p>
    <w:p>
      <w:pPr>
        <w:pStyle w:val="NoSpacing"/>
        <w:numPr>
          <w:ilvl w:val="0"/>
          <w:numId w:val="2"/>
        </w:numPr>
        <w:jc w:val="both"/>
        <w:rPr>
          <w:sz w:val="24"/>
          <w:szCs w:val="40"/>
        </w:rPr>
      </w:pPr>
      <w:r>
        <w:rPr>
          <w:sz w:val="24"/>
          <w:szCs w:val="40"/>
        </w:rPr>
        <w:t>Put in place secure systems to prevent unauthorized disclosure or misuse.</w:t>
      </w:r>
    </w:p>
    <w:p>
      <w:pPr>
        <w:pStyle w:val="NoSpacing"/>
        <w:jc w:val="both"/>
        <w:rPr>
          <w:sz w:val="24"/>
          <w:szCs w:val="40"/>
        </w:rPr>
      </w:pPr>
    </w:p>
    <w:p>
      <w:pPr>
        <w:pStyle w:val="NoSpacing"/>
        <w:jc w:val="both"/>
        <w:rPr>
          <w:b/>
          <w:bCs/>
          <w:sz w:val="24"/>
          <w:szCs w:val="40"/>
        </w:rPr>
      </w:pPr>
      <w:r>
        <w:rPr>
          <w:b/>
          <w:bCs/>
          <w:sz w:val="24"/>
          <w:szCs w:val="40"/>
        </w:rPr>
        <w:t>7. Conflict of Interest Management</w:t>
      </w:r>
    </w:p>
    <w:p>
      <w:pPr>
        <w:pStyle w:val="NoSpacing"/>
        <w:jc w:val="both"/>
        <w:rPr>
          <w:sz w:val="24"/>
          <w:szCs w:val="40"/>
        </w:rPr>
      </w:pPr>
    </w:p>
    <w:p>
      <w:pPr>
        <w:pStyle w:val="NoSpacing"/>
        <w:jc w:val="both"/>
        <w:rPr>
          <w:sz w:val="24"/>
          <w:szCs w:val="40"/>
        </w:rPr>
      </w:pPr>
      <w:r>
        <w:rPr>
          <w:sz w:val="24"/>
          <w:szCs w:val="40"/>
        </w:rPr>
        <w:t>Members shall:</w:t>
      </w:r>
    </w:p>
    <w:p>
      <w:pPr>
        <w:pStyle w:val="NoSpacing"/>
        <w:numPr>
          <w:ilvl w:val="0"/>
          <w:numId w:val="2"/>
        </w:numPr>
        <w:jc w:val="both"/>
        <w:rPr>
          <w:sz w:val="24"/>
          <w:szCs w:val="40"/>
        </w:rPr>
      </w:pPr>
      <w:r>
        <w:rPr>
          <w:sz w:val="24"/>
          <w:szCs w:val="40"/>
        </w:rPr>
        <w:t>Identify, prevent, or properly manage conflicts of interest.</w:t>
      </w:r>
    </w:p>
    <w:p>
      <w:pPr>
        <w:pStyle w:val="NoSpacing"/>
        <w:numPr>
          <w:ilvl w:val="0"/>
          <w:numId w:val="2"/>
        </w:numPr>
        <w:jc w:val="both"/>
        <w:rPr>
          <w:sz w:val="24"/>
          <w:szCs w:val="40"/>
        </w:rPr>
      </w:pPr>
      <w:r>
        <w:rPr>
          <w:sz w:val="24"/>
          <w:szCs w:val="40"/>
        </w:rPr>
        <w:t>Prioritize the best interest of clients above personal or organizational interests.</w:t>
      </w:r>
    </w:p>
    <w:p>
      <w:pPr>
        <w:pStyle w:val="NoSpacing"/>
        <w:numPr>
          <w:ilvl w:val="0"/>
          <w:numId w:val="2"/>
        </w:numPr>
        <w:jc w:val="both"/>
        <w:rPr>
          <w:sz w:val="24"/>
          <w:szCs w:val="40"/>
        </w:rPr>
      </w:pPr>
      <w:r>
        <w:rPr>
          <w:sz w:val="24"/>
          <w:szCs w:val="40"/>
        </w:rPr>
        <w:t>Disclose any financial, personal, or professional relationships that may affect independence.</w:t>
      </w:r>
    </w:p>
    <w:p>
      <w:pPr>
        <w:pStyle w:val="NoSpacing"/>
        <w:jc w:val="both"/>
        <w:rPr>
          <w:sz w:val="24"/>
          <w:szCs w:val="40"/>
        </w:rPr>
      </w:pPr>
    </w:p>
    <w:p>
      <w:pPr>
        <w:pStyle w:val="NoSpacing"/>
        <w:jc w:val="both"/>
        <w:rPr>
          <w:b/>
          <w:bCs/>
          <w:sz w:val="24"/>
          <w:szCs w:val="40"/>
        </w:rPr>
      </w:pPr>
      <w:r>
        <w:rPr>
          <w:b/>
          <w:bCs/>
          <w:sz w:val="24"/>
          <w:szCs w:val="40"/>
        </w:rPr>
        <w:t>8. Competence and Continuous Development</w:t>
      </w:r>
    </w:p>
    <w:p>
      <w:pPr>
        <w:pStyle w:val="NoSpacing"/>
        <w:jc w:val="both"/>
        <w:rPr>
          <w:sz w:val="24"/>
          <w:szCs w:val="40"/>
        </w:rPr>
      </w:pPr>
    </w:p>
    <w:p>
      <w:pPr>
        <w:pStyle w:val="NoSpacing"/>
        <w:jc w:val="both"/>
        <w:rPr>
          <w:sz w:val="24"/>
          <w:szCs w:val="40"/>
        </w:rPr>
      </w:pPr>
      <w:r>
        <w:rPr>
          <w:sz w:val="24"/>
          <w:szCs w:val="40"/>
        </w:rPr>
        <w:t>Members commit to:</w:t>
      </w:r>
    </w:p>
    <w:p>
      <w:pPr>
        <w:pStyle w:val="NoSpacing"/>
        <w:numPr>
          <w:ilvl w:val="0"/>
          <w:numId w:val="2"/>
        </w:numPr>
        <w:jc w:val="both"/>
        <w:rPr>
          <w:sz w:val="24"/>
          <w:szCs w:val="40"/>
        </w:rPr>
      </w:pPr>
      <w:r>
        <w:rPr>
          <w:sz w:val="24"/>
          <w:szCs w:val="40"/>
        </w:rPr>
        <w:t>Maintain professional competency through continuous learning.</w:t>
      </w:r>
    </w:p>
    <w:p>
      <w:pPr>
        <w:pStyle w:val="NoSpacing"/>
        <w:numPr>
          <w:ilvl w:val="0"/>
          <w:numId w:val="2"/>
        </w:numPr>
        <w:jc w:val="both"/>
        <w:rPr>
          <w:sz w:val="24"/>
          <w:szCs w:val="40"/>
        </w:rPr>
      </w:pPr>
      <w:r>
        <w:rPr>
          <w:sz w:val="24"/>
          <w:szCs w:val="40"/>
        </w:rPr>
        <w:t>Participate in CTA’s training, seminars, and certification programs.</w:t>
      </w:r>
    </w:p>
    <w:p>
      <w:pPr>
        <w:pStyle w:val="NoSpacing"/>
        <w:numPr>
          <w:ilvl w:val="0"/>
          <w:numId w:val="2"/>
        </w:numPr>
        <w:jc w:val="both"/>
        <w:rPr>
          <w:sz w:val="24"/>
          <w:szCs w:val="40"/>
        </w:rPr>
      </w:pPr>
      <w:r>
        <w:rPr>
          <w:sz w:val="24"/>
          <w:szCs w:val="40"/>
        </w:rPr>
        <w:t>Ensure staff involved in trust services are knowledgeable and qualified.</w:t>
      </w:r>
    </w:p>
    <w:p>
      <w:pPr>
        <w:pStyle w:val="NoSpacing"/>
        <w:jc w:val="both"/>
        <w:rPr>
          <w:sz w:val="24"/>
          <w:szCs w:val="40"/>
        </w:rPr>
      </w:pPr>
    </w:p>
    <w:p>
      <w:pPr>
        <w:pStyle w:val="NoSpacing"/>
        <w:jc w:val="both"/>
        <w:rPr>
          <w:b/>
          <w:bCs/>
          <w:sz w:val="24"/>
          <w:szCs w:val="40"/>
        </w:rPr>
      </w:pPr>
      <w:r>
        <w:rPr>
          <w:b/>
          <w:bCs/>
          <w:sz w:val="24"/>
          <w:szCs w:val="40"/>
        </w:rPr>
        <w:t>9. Responsible Marketing and Public Communication</w:t>
      </w:r>
    </w:p>
    <w:p>
      <w:pPr>
        <w:pStyle w:val="NoSpacing"/>
        <w:jc w:val="both"/>
        <w:rPr>
          <w:sz w:val="24"/>
          <w:szCs w:val="40"/>
        </w:rPr>
      </w:pPr>
    </w:p>
    <w:p>
      <w:pPr>
        <w:pStyle w:val="NoSpacing"/>
        <w:jc w:val="both"/>
        <w:rPr>
          <w:sz w:val="24"/>
          <w:szCs w:val="40"/>
        </w:rPr>
      </w:pPr>
      <w:r>
        <w:rPr>
          <w:sz w:val="24"/>
          <w:szCs w:val="40"/>
        </w:rPr>
        <w:t>Members shall ensure that:</w:t>
      </w:r>
    </w:p>
    <w:p>
      <w:pPr>
        <w:pStyle w:val="NoSpacing"/>
        <w:numPr>
          <w:ilvl w:val="0"/>
          <w:numId w:val="2"/>
        </w:numPr>
        <w:jc w:val="both"/>
        <w:rPr>
          <w:sz w:val="24"/>
          <w:szCs w:val="40"/>
        </w:rPr>
      </w:pPr>
      <w:r>
        <w:rPr>
          <w:sz w:val="24"/>
          <w:szCs w:val="40"/>
        </w:rPr>
        <w:t>Advertisements and communications are accurate, truthful, and not misleading.</w:t>
      </w:r>
    </w:p>
    <w:p>
      <w:pPr>
        <w:pStyle w:val="NoSpacing"/>
        <w:numPr>
          <w:ilvl w:val="0"/>
          <w:numId w:val="2"/>
        </w:numPr>
        <w:jc w:val="both"/>
        <w:rPr>
          <w:sz w:val="24"/>
          <w:szCs w:val="40"/>
        </w:rPr>
      </w:pPr>
      <w:r>
        <w:rPr>
          <w:sz w:val="24"/>
          <w:szCs w:val="40"/>
        </w:rPr>
        <w:t>No exaggerated claims are made about services or returns.</w:t>
      </w:r>
    </w:p>
    <w:p>
      <w:pPr>
        <w:pStyle w:val="NoSpacing"/>
        <w:numPr>
          <w:ilvl w:val="0"/>
          <w:numId w:val="2"/>
        </w:numPr>
        <w:jc w:val="both"/>
        <w:rPr>
          <w:sz w:val="24"/>
          <w:szCs w:val="40"/>
        </w:rPr>
      </w:pPr>
      <w:r>
        <w:rPr>
          <w:sz w:val="24"/>
          <w:szCs w:val="40"/>
        </w:rPr>
        <w:t>CTA’s reputation is upheld in all public engagements and media interactions.</w:t>
      </w:r>
    </w:p>
    <w:p>
      <w:pPr>
        <w:pStyle w:val="NoSpacing"/>
        <w:jc w:val="both"/>
        <w:rPr>
          <w:sz w:val="24"/>
          <w:szCs w:val="40"/>
        </w:rPr>
      </w:pPr>
    </w:p>
    <w:p>
      <w:pPr>
        <w:pStyle w:val="NoSpacing"/>
        <w:jc w:val="both"/>
        <w:rPr>
          <w:b/>
          <w:bCs/>
          <w:sz w:val="24"/>
          <w:szCs w:val="40"/>
        </w:rPr>
      </w:pPr>
      <w:r>
        <w:rPr>
          <w:b/>
          <w:bCs/>
          <w:sz w:val="24"/>
          <w:szCs w:val="40"/>
        </w:rPr>
        <w:t>10. Client Protection and Fair Treatment</w:t>
      </w:r>
    </w:p>
    <w:p>
      <w:pPr>
        <w:pStyle w:val="NoSpacing"/>
        <w:jc w:val="both"/>
        <w:rPr>
          <w:sz w:val="24"/>
          <w:szCs w:val="40"/>
        </w:rPr>
      </w:pPr>
    </w:p>
    <w:p>
      <w:pPr>
        <w:pStyle w:val="NoSpacing"/>
        <w:jc w:val="both"/>
        <w:rPr>
          <w:sz w:val="24"/>
          <w:szCs w:val="40"/>
        </w:rPr>
      </w:pPr>
      <w:r>
        <w:rPr>
          <w:sz w:val="24"/>
          <w:szCs w:val="40"/>
        </w:rPr>
        <w:t>Members shall:</w:t>
      </w:r>
    </w:p>
    <w:p>
      <w:pPr>
        <w:pStyle w:val="NoSpacing"/>
        <w:numPr>
          <w:ilvl w:val="0"/>
          <w:numId w:val="2"/>
        </w:numPr>
        <w:jc w:val="both"/>
        <w:rPr>
          <w:sz w:val="24"/>
          <w:szCs w:val="40"/>
        </w:rPr>
      </w:pPr>
      <w:r>
        <w:rPr>
          <w:sz w:val="24"/>
          <w:szCs w:val="40"/>
        </w:rPr>
        <w:t>Provide clear information on rights, responsibilities, risks, and fees.</w:t>
      </w:r>
    </w:p>
    <w:p>
      <w:pPr>
        <w:pStyle w:val="NoSpacing"/>
        <w:numPr>
          <w:ilvl w:val="0"/>
          <w:numId w:val="2"/>
        </w:numPr>
        <w:jc w:val="both"/>
        <w:rPr>
          <w:sz w:val="24"/>
          <w:szCs w:val="40"/>
        </w:rPr>
      </w:pPr>
      <w:r>
        <w:rPr>
          <w:sz w:val="24"/>
          <w:szCs w:val="40"/>
        </w:rPr>
        <w:t>Ensure fair dispute resolution mechanisms.</w:t>
      </w:r>
    </w:p>
    <w:p>
      <w:pPr>
        <w:pStyle w:val="NoSpacing"/>
        <w:numPr>
          <w:ilvl w:val="0"/>
          <w:numId w:val="2"/>
        </w:numPr>
        <w:jc w:val="both"/>
        <w:rPr>
          <w:sz w:val="24"/>
          <w:szCs w:val="40"/>
        </w:rPr>
      </w:pPr>
      <w:r>
        <w:rPr>
          <w:sz w:val="24"/>
          <w:szCs w:val="40"/>
        </w:rPr>
        <w:t>Avoid discrimination or unfair treatment.</w:t>
      </w:r>
    </w:p>
    <w:p>
      <w:pPr>
        <w:pStyle w:val="NoSpacing"/>
        <w:numPr>
          <w:ilvl w:val="0"/>
          <w:numId w:val="2"/>
        </w:numPr>
        <w:jc w:val="both"/>
        <w:rPr>
          <w:sz w:val="24"/>
          <w:szCs w:val="40"/>
        </w:rPr>
      </w:pPr>
      <w:r>
        <w:rPr>
          <w:sz w:val="24"/>
          <w:szCs w:val="40"/>
        </w:rPr>
        <w:t>Prioritize client interests and act in fiduciary capacity at all times.</w:t>
      </w:r>
    </w:p>
    <w:p>
      <w:pPr>
        <w:pStyle w:val="NoSpacing"/>
        <w:jc w:val="both"/>
        <w:rPr>
          <w:sz w:val="24"/>
          <w:szCs w:val="40"/>
        </w:rPr>
      </w:pPr>
    </w:p>
    <w:p>
      <w:pPr>
        <w:pStyle w:val="NoSpacing"/>
        <w:jc w:val="both"/>
        <w:rPr>
          <w:b/>
          <w:bCs/>
          <w:sz w:val="24"/>
          <w:szCs w:val="40"/>
        </w:rPr>
      </w:pPr>
      <w:r>
        <w:rPr>
          <w:b/>
          <w:bCs/>
          <w:sz w:val="24"/>
          <w:szCs w:val="40"/>
        </w:rPr>
        <w:t>11. Anti-Corruption and Anti-Bribery</w:t>
      </w:r>
    </w:p>
    <w:p>
      <w:pPr>
        <w:pStyle w:val="NoSpacing"/>
        <w:jc w:val="both"/>
        <w:rPr>
          <w:sz w:val="24"/>
          <w:szCs w:val="40"/>
        </w:rPr>
      </w:pPr>
    </w:p>
    <w:p>
      <w:pPr>
        <w:pStyle w:val="NoSpacing"/>
        <w:jc w:val="both"/>
        <w:rPr>
          <w:sz w:val="24"/>
          <w:szCs w:val="40"/>
        </w:rPr>
      </w:pPr>
      <w:r>
        <w:rPr>
          <w:sz w:val="24"/>
          <w:szCs w:val="40"/>
        </w:rPr>
        <w:t>Members must:</w:t>
      </w:r>
    </w:p>
    <w:p>
      <w:pPr>
        <w:pStyle w:val="NoSpacing"/>
        <w:numPr>
          <w:ilvl w:val="0"/>
          <w:numId w:val="2"/>
        </w:numPr>
        <w:jc w:val="both"/>
        <w:rPr>
          <w:sz w:val="24"/>
          <w:szCs w:val="40"/>
        </w:rPr>
      </w:pPr>
      <w:r>
        <w:rPr>
          <w:sz w:val="24"/>
          <w:szCs w:val="40"/>
        </w:rPr>
        <w:t>Reject all forms of corruption, bribery, and improper influence.</w:t>
      </w:r>
    </w:p>
    <w:p>
      <w:pPr>
        <w:pStyle w:val="NoSpacing"/>
        <w:numPr>
          <w:ilvl w:val="0"/>
          <w:numId w:val="2"/>
        </w:numPr>
        <w:jc w:val="both"/>
        <w:rPr>
          <w:sz w:val="24"/>
          <w:szCs w:val="40"/>
        </w:rPr>
      </w:pPr>
      <w:r>
        <w:rPr>
          <w:sz w:val="24"/>
          <w:szCs w:val="40"/>
        </w:rPr>
        <w:t>Report suspicious or unethical behavior through CTA’s channels.</w:t>
      </w:r>
    </w:p>
    <w:p>
      <w:pPr>
        <w:pStyle w:val="NoSpacing"/>
        <w:numPr>
          <w:ilvl w:val="0"/>
          <w:numId w:val="2"/>
        </w:numPr>
        <w:jc w:val="both"/>
        <w:rPr>
          <w:sz w:val="24"/>
          <w:szCs w:val="40"/>
        </w:rPr>
      </w:pPr>
      <w:r>
        <w:rPr>
          <w:sz w:val="24"/>
          <w:szCs w:val="40"/>
        </w:rPr>
        <w:t>Maintain transparency in all financial and operational dealings.</w:t>
      </w:r>
    </w:p>
    <w:p>
      <w:pPr>
        <w:pStyle w:val="NoSpacing"/>
        <w:jc w:val="both"/>
        <w:rPr>
          <w:sz w:val="24"/>
          <w:szCs w:val="40"/>
        </w:rPr>
      </w:pPr>
    </w:p>
    <w:p>
      <w:pPr>
        <w:pStyle w:val="NoSpacing"/>
        <w:jc w:val="both"/>
        <w:rPr>
          <w:b/>
          <w:bCs/>
          <w:sz w:val="24"/>
          <w:szCs w:val="40"/>
        </w:rPr>
      </w:pPr>
      <w:r>
        <w:rPr>
          <w:b/>
          <w:bCs/>
          <w:sz w:val="24"/>
          <w:szCs w:val="40"/>
        </w:rPr>
        <w:t>12. Accountability to CTA</w:t>
      </w:r>
    </w:p>
    <w:p>
      <w:pPr>
        <w:pStyle w:val="NoSpacing"/>
        <w:jc w:val="both"/>
        <w:rPr>
          <w:sz w:val="24"/>
          <w:szCs w:val="40"/>
        </w:rPr>
      </w:pPr>
    </w:p>
    <w:p>
      <w:pPr>
        <w:pStyle w:val="NoSpacing"/>
        <w:jc w:val="both"/>
        <w:rPr>
          <w:sz w:val="24"/>
          <w:szCs w:val="40"/>
        </w:rPr>
      </w:pPr>
      <w:r>
        <w:rPr>
          <w:sz w:val="24"/>
          <w:szCs w:val="40"/>
        </w:rPr>
        <w:t>Members agree to:</w:t>
      </w:r>
    </w:p>
    <w:p>
      <w:pPr>
        <w:pStyle w:val="NoSpacing"/>
        <w:numPr>
          <w:ilvl w:val="0"/>
          <w:numId w:val="2"/>
        </w:numPr>
        <w:jc w:val="both"/>
        <w:rPr>
          <w:sz w:val="24"/>
          <w:szCs w:val="40"/>
        </w:rPr>
      </w:pPr>
      <w:r>
        <w:rPr>
          <w:sz w:val="24"/>
          <w:szCs w:val="40"/>
        </w:rPr>
        <w:t>Support CTA’s mission, standards, and development initiatives.</w:t>
      </w:r>
    </w:p>
    <w:p>
      <w:pPr>
        <w:pStyle w:val="NoSpacing"/>
        <w:numPr>
          <w:ilvl w:val="0"/>
          <w:numId w:val="2"/>
        </w:numPr>
        <w:jc w:val="both"/>
        <w:rPr>
          <w:sz w:val="24"/>
          <w:szCs w:val="40"/>
        </w:rPr>
      </w:pPr>
      <w:r>
        <w:rPr>
          <w:sz w:val="24"/>
          <w:szCs w:val="40"/>
        </w:rPr>
        <w:t>Cooperate with CTA reviews, audits, or disciplinary actions.</w:t>
      </w:r>
    </w:p>
    <w:p>
      <w:pPr>
        <w:pStyle w:val="NoSpacing"/>
        <w:numPr>
          <w:ilvl w:val="0"/>
          <w:numId w:val="2"/>
        </w:numPr>
        <w:jc w:val="both"/>
        <w:rPr>
          <w:sz w:val="24"/>
          <w:szCs w:val="40"/>
        </w:rPr>
      </w:pPr>
      <w:r>
        <w:rPr>
          <w:sz w:val="24"/>
          <w:szCs w:val="40"/>
        </w:rPr>
        <w:t>Report misconduct, violations, or unethical practices of other members.</w:t>
      </w:r>
    </w:p>
    <w:p>
      <w:pPr>
        <w:pStyle w:val="NoSpacing"/>
        <w:jc w:val="both"/>
        <w:rPr>
          <w:sz w:val="24"/>
          <w:szCs w:val="40"/>
        </w:rPr>
      </w:pPr>
    </w:p>
    <w:p>
      <w:pPr>
        <w:pStyle w:val="NoSpacing"/>
        <w:jc w:val="both"/>
        <w:rPr>
          <w:b/>
          <w:bCs/>
          <w:sz w:val="24"/>
          <w:szCs w:val="40"/>
        </w:rPr>
      </w:pPr>
      <w:r>
        <w:rPr>
          <w:b/>
          <w:bCs/>
          <w:sz w:val="24"/>
          <w:szCs w:val="40"/>
        </w:rPr>
        <w:t>13. Disciplinary Actions for Violations</w:t>
      </w:r>
    </w:p>
    <w:p>
      <w:pPr>
        <w:pStyle w:val="NoSpacing"/>
        <w:jc w:val="both"/>
        <w:rPr>
          <w:sz w:val="24"/>
          <w:szCs w:val="40"/>
        </w:rPr>
      </w:pPr>
    </w:p>
    <w:p>
      <w:pPr>
        <w:pStyle w:val="NoSpacing"/>
        <w:jc w:val="both"/>
        <w:rPr>
          <w:sz w:val="24"/>
          <w:szCs w:val="40"/>
        </w:rPr>
      </w:pPr>
      <w:r>
        <w:rPr>
          <w:sz w:val="24"/>
          <w:szCs w:val="40"/>
        </w:rPr>
        <w:t>CTA may take disciplinary measures for violations, including:</w:t>
      </w:r>
    </w:p>
    <w:p>
      <w:pPr>
        <w:pStyle w:val="NoSpacing"/>
        <w:numPr>
          <w:ilvl w:val="0"/>
          <w:numId w:val="2"/>
        </w:numPr>
        <w:jc w:val="both"/>
        <w:rPr>
          <w:sz w:val="24"/>
          <w:szCs w:val="40"/>
        </w:rPr>
      </w:pPr>
      <w:r>
        <w:rPr>
          <w:sz w:val="24"/>
          <w:szCs w:val="40"/>
        </w:rPr>
        <w:t>Written warnings</w:t>
      </w:r>
    </w:p>
    <w:p>
      <w:pPr>
        <w:pStyle w:val="NoSpacing"/>
        <w:numPr>
          <w:ilvl w:val="0"/>
          <w:numId w:val="2"/>
        </w:numPr>
        <w:jc w:val="both"/>
        <w:rPr>
          <w:sz w:val="24"/>
          <w:szCs w:val="40"/>
        </w:rPr>
      </w:pPr>
      <w:r>
        <w:rPr>
          <w:sz w:val="24"/>
          <w:szCs w:val="40"/>
        </w:rPr>
        <w:t>Suspension of membership</w:t>
      </w:r>
    </w:p>
    <w:p>
      <w:pPr>
        <w:pStyle w:val="NoSpacing"/>
        <w:numPr>
          <w:ilvl w:val="0"/>
          <w:numId w:val="2"/>
        </w:numPr>
        <w:jc w:val="both"/>
        <w:rPr>
          <w:sz w:val="24"/>
          <w:szCs w:val="40"/>
        </w:rPr>
      </w:pPr>
      <w:r>
        <w:rPr>
          <w:sz w:val="24"/>
          <w:szCs w:val="40"/>
        </w:rPr>
        <w:t>Revocation of membership</w:t>
      </w:r>
    </w:p>
    <w:p>
      <w:pPr>
        <w:pStyle w:val="NoSpacing"/>
        <w:numPr>
          <w:ilvl w:val="0"/>
          <w:numId w:val="2"/>
        </w:numPr>
        <w:jc w:val="both"/>
        <w:rPr>
          <w:sz w:val="24"/>
          <w:szCs w:val="40"/>
        </w:rPr>
      </w:pPr>
      <w:r>
        <w:rPr>
          <w:sz w:val="24"/>
          <w:szCs w:val="40"/>
        </w:rPr>
        <w:t>Reporting to the trust regulator</w:t>
      </w:r>
    </w:p>
    <w:p>
      <w:pPr>
        <w:pStyle w:val="NoSpacing"/>
        <w:numPr>
          <w:ilvl w:val="0"/>
          <w:numId w:val="2"/>
        </w:numPr>
        <w:jc w:val="both"/>
        <w:rPr>
          <w:sz w:val="24"/>
          <w:szCs w:val="40"/>
        </w:rPr>
      </w:pPr>
      <w:r>
        <w:rPr>
          <w:sz w:val="24"/>
          <w:szCs w:val="40"/>
        </w:rPr>
        <w:t>Other actions necessary to protect the trust sector</w:t>
      </w:r>
    </w:p>
    <w:p>
      <w:pPr>
        <w:pStyle w:val="NoSpacing"/>
        <w:jc w:val="both"/>
        <w:rPr>
          <w:sz w:val="24"/>
          <w:szCs w:val="40"/>
        </w:rPr>
      </w:pPr>
    </w:p>
    <w:p>
      <w:pPr>
        <w:pStyle w:val="NoSpacing"/>
        <w:jc w:val="both"/>
        <w:rPr>
          <w:b/>
          <w:bCs/>
          <w:sz w:val="24"/>
          <w:szCs w:val="40"/>
        </w:rPr>
      </w:pPr>
      <w:r>
        <w:rPr>
          <w:b/>
          <w:bCs/>
          <w:sz w:val="24"/>
          <w:szCs w:val="40"/>
        </w:rPr>
        <w:t>14. Commitment to the Trust Sector and Public Confidence</w:t>
      </w:r>
    </w:p>
    <w:p>
      <w:pPr>
        <w:pStyle w:val="NoSpacing"/>
        <w:jc w:val="both"/>
        <w:rPr>
          <w:sz w:val="24"/>
          <w:szCs w:val="40"/>
        </w:rPr>
      </w:pPr>
    </w:p>
    <w:p>
      <w:pPr>
        <w:pStyle w:val="NoSpacing"/>
        <w:jc w:val="both"/>
        <w:rPr>
          <w:sz w:val="24"/>
          <w:szCs w:val="40"/>
        </w:rPr>
      </w:pPr>
      <w:r>
        <w:rPr>
          <w:sz w:val="24"/>
          <w:szCs w:val="40"/>
        </w:rPr>
        <w:t>Members pledge to:</w:t>
      </w:r>
    </w:p>
    <w:p>
      <w:pPr>
        <w:pStyle w:val="NoSpacing"/>
        <w:numPr>
          <w:ilvl w:val="0"/>
          <w:numId w:val="2"/>
        </w:numPr>
        <w:jc w:val="both"/>
        <w:rPr>
          <w:sz w:val="24"/>
          <w:szCs w:val="40"/>
        </w:rPr>
      </w:pPr>
      <w:r>
        <w:rPr>
          <w:sz w:val="24"/>
          <w:szCs w:val="40"/>
        </w:rPr>
        <w:t>Strengthen Cambodia’s trust ecosystem.</w:t>
      </w:r>
    </w:p>
    <w:p>
      <w:pPr>
        <w:pStyle w:val="NoSpacing"/>
        <w:numPr>
          <w:ilvl w:val="0"/>
          <w:numId w:val="2"/>
        </w:numPr>
        <w:jc w:val="both"/>
        <w:rPr>
          <w:sz w:val="24"/>
          <w:szCs w:val="40"/>
        </w:rPr>
      </w:pPr>
      <w:r>
        <w:rPr>
          <w:sz w:val="24"/>
          <w:szCs w:val="40"/>
        </w:rPr>
        <w:t>Promote investor protection and financial inclusion.</w:t>
      </w:r>
    </w:p>
    <w:p>
      <w:pPr>
        <w:pStyle w:val="NoSpacing"/>
        <w:numPr>
          <w:ilvl w:val="0"/>
          <w:numId w:val="2"/>
        </w:numPr>
        <w:jc w:val="both"/>
        <w:rPr>
          <w:sz w:val="24"/>
          <w:szCs w:val="40"/>
        </w:rPr>
      </w:pPr>
      <w:r>
        <w:rPr>
          <w:sz w:val="24"/>
          <w:szCs w:val="40"/>
        </w:rPr>
        <w:t>Uphold high standards to increase public trust and sector credibility.</w:t>
      </w:r>
    </w:p>
    <w:p>
      <w:pPr>
        <w:pStyle w:val="NoSpacing"/>
        <w:jc w:val="both"/>
        <w:rPr>
          <w:sz w:val="24"/>
          <w:szCs w:val="40"/>
        </w:rPr>
      </w:pPr>
    </w:p>
    <w:p>
      <w:pPr>
        <w:pStyle w:val="NoSpacing"/>
        <w:jc w:val="both"/>
        <w:rPr>
          <w:b/>
          <w:bCs/>
          <w:sz w:val="24"/>
          <w:szCs w:val="40"/>
        </w:rPr>
      </w:pPr>
      <w:r>
        <w:rPr>
          <w:b/>
          <w:bCs/>
          <w:sz w:val="24"/>
          <w:szCs w:val="40"/>
        </w:rPr>
        <w:t>15. Declaration of Compliance</w:t>
      </w:r>
    </w:p>
    <w:p>
      <w:pPr>
        <w:pStyle w:val="NoSpacing"/>
        <w:jc w:val="both"/>
        <w:rPr>
          <w:sz w:val="24"/>
          <w:szCs w:val="40"/>
        </w:rPr>
      </w:pPr>
    </w:p>
    <w:p>
      <w:pPr>
        <w:pStyle w:val="NoSpacing"/>
        <w:jc w:val="both"/>
        <w:rPr>
          <w:sz w:val="24"/>
          <w:szCs w:val="40"/>
        </w:rPr>
      </w:pPr>
      <w:r>
        <w:rPr>
          <w:sz w:val="24"/>
          <w:szCs w:val="40"/>
        </w:rPr>
        <w:t>All CTA’s members shall sign a declaration confirming:</w:t>
      </w:r>
    </w:p>
    <w:p>
      <w:pPr>
        <w:pStyle w:val="NoSpacing"/>
        <w:numPr>
          <w:ilvl w:val="0"/>
          <w:numId w:val="2"/>
        </w:numPr>
        <w:jc w:val="both"/>
        <w:rPr>
          <w:sz w:val="24"/>
          <w:szCs w:val="40"/>
        </w:rPr>
      </w:pPr>
      <w:r>
        <w:rPr>
          <w:sz w:val="24"/>
          <w:szCs w:val="40"/>
        </w:rPr>
        <w:t>Awareness of this Code of Conduct</w:t>
      </w:r>
    </w:p>
    <w:p>
      <w:pPr>
        <w:pStyle w:val="NoSpacing"/>
        <w:numPr>
          <w:ilvl w:val="0"/>
          <w:numId w:val="2"/>
        </w:numPr>
        <w:jc w:val="both"/>
        <w:rPr>
          <w:sz w:val="24"/>
          <w:szCs w:val="40"/>
        </w:rPr>
      </w:pPr>
      <w:r>
        <w:rPr>
          <w:sz w:val="24"/>
          <w:szCs w:val="40"/>
        </w:rPr>
        <w:t>Commitment to comply with all provisions</w:t>
      </w:r>
    </w:p>
    <w:p>
      <w:pPr>
        <w:pStyle w:val="NoSpacing"/>
        <w:numPr>
          <w:ilvl w:val="0"/>
          <w:numId w:val="2"/>
        </w:numPr>
        <w:jc w:val="both"/>
        <w:rPr>
          <w:sz w:val="24"/>
          <w:szCs w:val="40"/>
        </w:rPr>
      </w:pPr>
      <w:r>
        <w:rPr>
          <w:sz w:val="24"/>
          <w:szCs w:val="40"/>
        </w:rPr>
        <w:t>Acceptance of disciplinary actions in cases of violation</w:t>
      </w:r>
    </w:p>
    <w:p>
      <w:pPr>
        <w:pStyle w:val="NoSpacing"/>
        <w:jc w:val="both"/>
        <w:rPr>
          <w:rFonts w:asciiTheme="majorHAnsi" w:hAnsiTheme="majorHAnsi" w:cstheme="majorHAnsi"/>
          <w:b/>
          <w:bCs/>
          <w:color w:val="000000" w:themeColor="text1"/>
          <w:sz w:val="28"/>
          <w:szCs w:val="28"/>
        </w:rPr>
      </w:pPr>
    </w:p>
    <w:p>
      <w:pPr>
        <w:pStyle w:val="NoSpacing"/>
        <w:jc w:val="both"/>
        <w:rPr>
          <w:b/>
          <w:bCs/>
          <w:sz w:val="24"/>
          <w:szCs w:val="40"/>
        </w:rPr>
      </w:pPr>
      <w:r>
        <w:rPr>
          <w:b/>
          <w:bCs/>
          <w:sz w:val="24"/>
          <w:szCs w:val="40"/>
        </w:rPr>
        <w:t>16. Amendment of the Code of Conducts</w:t>
      </w:r>
    </w:p>
    <w:p>
      <w:pPr>
        <w:pStyle w:val="NoSpacing"/>
        <w:jc w:val="both"/>
        <w:rPr>
          <w:rFonts w:asciiTheme="majorHAnsi" w:hAnsiTheme="majorHAnsi" w:cstheme="majorHAnsi"/>
          <w:color w:val="000000" w:themeColor="text1"/>
          <w:sz w:val="28"/>
          <w:szCs w:val="28"/>
        </w:rPr>
      </w:pPr>
    </w:p>
    <w:p>
      <w:pPr>
        <w:pStyle w:val="NoSpacing"/>
        <w:jc w:val="both"/>
        <w:rPr>
          <w:sz w:val="24"/>
          <w:szCs w:val="40"/>
        </w:rPr>
      </w:pPr>
      <w:r>
        <w:rPr>
          <w:sz w:val="24"/>
          <w:szCs w:val="40"/>
        </w:rPr>
        <w:t>Modifications must be approved by:</w:t>
      </w:r>
    </w:p>
    <w:p>
      <w:pPr>
        <w:pStyle w:val="NoSpacing"/>
        <w:numPr>
          <w:ilvl w:val="0"/>
          <w:numId w:val="2"/>
        </w:numPr>
        <w:jc w:val="both"/>
        <w:rPr>
          <w:sz w:val="24"/>
          <w:szCs w:val="40"/>
        </w:rPr>
      </w:pPr>
      <w:r>
        <w:rPr>
          <w:sz w:val="24"/>
          <w:szCs w:val="40"/>
        </w:rPr>
        <w:t>CTA’s Executive Committee</w:t>
      </w:r>
    </w:p>
    <w:p>
      <w:pPr>
        <w:pStyle w:val="NoSpacing"/>
        <w:numPr>
          <w:ilvl w:val="0"/>
          <w:numId w:val="2"/>
        </w:numPr>
        <w:jc w:val="both"/>
        <w:rPr>
          <w:sz w:val="24"/>
          <w:szCs w:val="40"/>
        </w:rPr>
      </w:pPr>
      <w:r>
        <w:rPr>
          <w:sz w:val="24"/>
          <w:szCs w:val="40"/>
        </w:rPr>
        <w:t>General Assembly (if required)</w:t>
      </w:r>
    </w:p>
    <w:p>
      <w:pPr>
        <w:pStyle w:val="NoSpacing"/>
        <w:numPr>
          <w:ilvl w:val="0"/>
          <w:numId w:val="18"/>
        </w:numPr>
        <w:jc w:val="both"/>
        <w:rPr>
          <w:sz w:val="24"/>
          <w:szCs w:val="40"/>
        </w:rPr>
      </w:pPr>
      <w:r>
        <w:rPr>
          <w:sz w:val="24"/>
          <w:szCs w:val="40"/>
        </w:rPr>
        <w:t>Consultation with the Trust Regulator (if required)</w:t>
      </w:r>
    </w:p>
    <w:p>
      <w:pPr>
        <w:pStyle w:val="NoSpacing"/>
        <w:jc w:val="both"/>
        <w:rPr>
          <w:rFonts w:asciiTheme="majorHAnsi" w:hAnsiTheme="majorHAnsi" w:cstheme="majorHAnsi"/>
          <w:color w:val="000000" w:themeColor="text1"/>
          <w:sz w:val="28"/>
          <w:szCs w:val="28"/>
        </w:rPr>
      </w:pPr>
    </w:p>
    <w:p>
      <w:pPr>
        <w:pStyle w:val="NoSpacing"/>
        <w:jc w:val="both"/>
        <w:rPr>
          <w:sz w:val="24"/>
          <w:szCs w:val="40"/>
        </w:rPr>
      </w:pPr>
      <w:r>
        <w:rPr>
          <w:sz w:val="24"/>
          <w:szCs w:val="40"/>
        </w:rPr>
        <w:t>All updates shall be communicated formally to all members.</w:t>
      </w:r>
    </w:p>
    <w:p>
      <w:pPr>
        <w:pStyle w:val="NoSpacing"/>
        <w:jc w:val="both"/>
        <w:rPr>
          <w:rFonts w:asciiTheme="majorHAnsi" w:hAnsiTheme="majorHAnsi" w:cstheme="majorHAnsi"/>
          <w:color w:val="000000" w:themeColor="text1"/>
          <w:sz w:val="28"/>
          <w:szCs w:val="28"/>
        </w:rPr>
      </w:pPr>
    </w:p>
    <w:p>
      <w:pPr>
        <w:pStyle w:val="NoSpacing"/>
        <w:jc w:val="both"/>
        <w:rPr>
          <w:b/>
          <w:bCs/>
          <w:sz w:val="24"/>
          <w:szCs w:val="40"/>
        </w:rPr>
      </w:pPr>
      <w:r>
        <w:rPr>
          <w:b/>
          <w:bCs/>
          <w:sz w:val="24"/>
          <w:szCs w:val="40"/>
        </w:rPr>
        <w:t>17. Effective Date</w:t>
      </w:r>
    </w:p>
    <w:p>
      <w:pPr>
        <w:pStyle w:val="NoSpacing"/>
        <w:jc w:val="both"/>
        <w:rPr>
          <w:rFonts w:asciiTheme="majorHAnsi" w:hAnsiTheme="majorHAnsi" w:cstheme="majorHAnsi"/>
          <w:color w:val="000000" w:themeColor="text1"/>
          <w:sz w:val="28"/>
          <w:szCs w:val="28"/>
        </w:rPr>
      </w:pPr>
    </w:p>
    <w:p>
      <w:pPr>
        <w:pStyle w:val="NoSpacing"/>
        <w:jc w:val="both"/>
        <w:rPr>
          <w:sz w:val="24"/>
          <w:szCs w:val="40"/>
        </w:rPr>
      </w:pPr>
      <w:r>
        <w:rPr>
          <w:sz w:val="24"/>
          <w:szCs w:val="40"/>
        </w:rPr>
        <w:t>This Code of Conduct shall take effect on the date approved by the CTA’s Executive Committee.</w:t>
      </w:r>
    </w:p>
    <w:sectPr>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unPenh">
    <w:panose1 w:val="02000500000000020004"/>
    <w:charset w:val="00"/>
    <w:family w:val="auto"/>
    <w:pitch w:val="variable"/>
    <w:sig w:usb0="80000003" w:usb1="00000000" w:usb2="00010000" w:usb3="00000000" w:csb0="00000001" w:csb1="00000000"/>
  </w:font>
  <w:font w:name="MoolBoran">
    <w:panose1 w:val="020B0100010101010101"/>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28"/>
      </w:rPr>
      <w:id w:val="-1965266598"/>
      <w:docPartObj>
        <w:docPartGallery w:val="Page Numbers (Bottom of Page)"/>
        <w:docPartUnique/>
      </w:docPartObj>
    </w:sdtPr>
    <w:sdtContent>
      <w:sdt>
        <w:sdtPr>
          <w:rPr>
            <w:sz w:val="18"/>
            <w:szCs w:val="28"/>
          </w:rPr>
          <w:id w:val="1728636285"/>
          <w:docPartObj>
            <w:docPartGallery w:val="Page Numbers (Top of Page)"/>
            <w:docPartUnique/>
          </w:docPartObj>
        </w:sdtPr>
        <w:sdtContent>
          <w:p>
            <w:pPr>
              <w:pStyle w:val="Footer"/>
              <w:jc w:val="center"/>
              <w:rPr>
                <w:sz w:val="18"/>
                <w:szCs w:val="28"/>
              </w:rPr>
            </w:pPr>
            <w:r>
              <w:rPr>
                <w:sz w:val="18"/>
                <w:szCs w:val="28"/>
              </w:rPr>
              <w:t xml:space="preserve">Page </w:t>
            </w:r>
            <w:r>
              <w:rPr>
                <w:b/>
                <w:bCs/>
                <w:sz w:val="20"/>
                <w:szCs w:val="20"/>
              </w:rPr>
              <w:fldChar w:fldCharType="begin"/>
            </w:r>
            <w:r>
              <w:rPr>
                <w:b/>
                <w:bCs/>
                <w:sz w:val="18"/>
                <w:szCs w:val="28"/>
              </w:rPr>
              <w:instrText xml:space="preserve"> PAGE </w:instrText>
            </w:r>
            <w:r>
              <w:rPr>
                <w:b/>
                <w:bCs/>
                <w:sz w:val="20"/>
                <w:szCs w:val="20"/>
              </w:rPr>
              <w:fldChar w:fldCharType="separate"/>
            </w:r>
            <w:r>
              <w:rPr>
                <w:b/>
                <w:bCs/>
                <w:noProof/>
                <w:sz w:val="18"/>
                <w:szCs w:val="28"/>
              </w:rPr>
              <w:t>3</w:t>
            </w:r>
            <w:r>
              <w:rPr>
                <w:b/>
                <w:bCs/>
                <w:sz w:val="20"/>
                <w:szCs w:val="20"/>
              </w:rPr>
              <w:fldChar w:fldCharType="end"/>
            </w:r>
            <w:r>
              <w:rPr>
                <w:sz w:val="18"/>
                <w:szCs w:val="28"/>
              </w:rPr>
              <w:t xml:space="preserve"> of </w:t>
            </w:r>
            <w:r>
              <w:rPr>
                <w:b/>
                <w:bCs/>
                <w:sz w:val="20"/>
                <w:szCs w:val="20"/>
              </w:rPr>
              <w:fldChar w:fldCharType="begin"/>
            </w:r>
            <w:r>
              <w:rPr>
                <w:b/>
                <w:bCs/>
                <w:sz w:val="18"/>
                <w:szCs w:val="28"/>
              </w:rPr>
              <w:instrText xml:space="preserve"> NUMPAGES  </w:instrText>
            </w:r>
            <w:r>
              <w:rPr>
                <w:b/>
                <w:bCs/>
                <w:sz w:val="20"/>
                <w:szCs w:val="20"/>
              </w:rPr>
              <w:fldChar w:fldCharType="separate"/>
            </w:r>
            <w:r>
              <w:rPr>
                <w:b/>
                <w:bCs/>
                <w:noProof/>
                <w:sz w:val="18"/>
                <w:szCs w:val="28"/>
              </w:rPr>
              <w:t>3</w:t>
            </w:r>
            <w:r>
              <w:rPr>
                <w:b/>
                <w:bCs/>
                <w:sz w:val="20"/>
                <w:szCs w:val="20"/>
              </w:rPr>
              <w:fldChar w:fldCharType="end"/>
            </w:r>
          </w:p>
        </w:sdtContent>
      </w:sdt>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7C9C"/>
    <w:multiLevelType w:val="hybridMultilevel"/>
    <w:tmpl w:val="9DD0ADDC"/>
    <w:lvl w:ilvl="0" w:tplc="BA76B028">
      <w:start w:val="5"/>
      <w:numFmt w:val="bullet"/>
      <w:lvlText w:val="•"/>
      <w:lvlJc w:val="left"/>
      <w:pPr>
        <w:ind w:left="773"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F23FA"/>
    <w:multiLevelType w:val="hybridMultilevel"/>
    <w:tmpl w:val="CF580BE2"/>
    <w:lvl w:ilvl="0" w:tplc="AD7CE6FC">
      <w:start w:val="2"/>
      <w:numFmt w:val="bullet"/>
      <w:lvlText w:val="•"/>
      <w:lvlJc w:val="left"/>
      <w:pPr>
        <w:ind w:left="773" w:hanging="360"/>
      </w:pPr>
      <w:rPr>
        <w:rFonts w:ascii="Calibri" w:eastAsiaTheme="minorHAnsi" w:hAnsi="Calibri" w:cs="Calibri"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0B0E4735"/>
    <w:multiLevelType w:val="hybridMultilevel"/>
    <w:tmpl w:val="24984E4A"/>
    <w:lvl w:ilvl="0" w:tplc="AD7CE6FC">
      <w:start w:val="6"/>
      <w:numFmt w:val="bullet"/>
      <w:lvlText w:val="•"/>
      <w:lvlJc w:val="left"/>
      <w:pPr>
        <w:ind w:left="413"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C09BB"/>
    <w:multiLevelType w:val="hybridMultilevel"/>
    <w:tmpl w:val="D356021C"/>
    <w:lvl w:ilvl="0" w:tplc="AD7CE6FC">
      <w:start w:val="6"/>
      <w:numFmt w:val="bullet"/>
      <w:lvlText w:val="•"/>
      <w:lvlJc w:val="left"/>
      <w:pPr>
        <w:ind w:left="413"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248F0"/>
    <w:multiLevelType w:val="hybridMultilevel"/>
    <w:tmpl w:val="C90696C8"/>
    <w:lvl w:ilvl="0" w:tplc="AD7CE6FC">
      <w:start w:val="6"/>
      <w:numFmt w:val="bullet"/>
      <w:lvlText w:val="•"/>
      <w:lvlJc w:val="left"/>
      <w:pPr>
        <w:ind w:left="413"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64A27"/>
    <w:multiLevelType w:val="hybridMultilevel"/>
    <w:tmpl w:val="E948ECBA"/>
    <w:lvl w:ilvl="0" w:tplc="AD7CE6FC">
      <w:start w:val="6"/>
      <w:numFmt w:val="bullet"/>
      <w:lvlText w:val="•"/>
      <w:lvlJc w:val="left"/>
      <w:pPr>
        <w:ind w:left="413"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D6C3E"/>
    <w:multiLevelType w:val="hybridMultilevel"/>
    <w:tmpl w:val="B2608FEE"/>
    <w:lvl w:ilvl="0" w:tplc="AD7CE6FC">
      <w:start w:val="6"/>
      <w:numFmt w:val="bullet"/>
      <w:lvlText w:val="•"/>
      <w:lvlJc w:val="left"/>
      <w:pPr>
        <w:ind w:left="413"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16AAB"/>
    <w:multiLevelType w:val="hybridMultilevel"/>
    <w:tmpl w:val="D68A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F973EF"/>
    <w:multiLevelType w:val="hybridMultilevel"/>
    <w:tmpl w:val="D8722A00"/>
    <w:lvl w:ilvl="0" w:tplc="AD7CE6FC">
      <w:start w:val="6"/>
      <w:numFmt w:val="bullet"/>
      <w:lvlText w:val="•"/>
      <w:lvlJc w:val="left"/>
      <w:pPr>
        <w:ind w:left="413"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5033C"/>
    <w:multiLevelType w:val="hybridMultilevel"/>
    <w:tmpl w:val="8384E748"/>
    <w:lvl w:ilvl="0" w:tplc="E5A6A8CE">
      <w:start w:val="1"/>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0" w15:restartNumberingAfterBreak="0">
    <w:nsid w:val="23C3168D"/>
    <w:multiLevelType w:val="hybridMultilevel"/>
    <w:tmpl w:val="82FED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A305E6"/>
    <w:multiLevelType w:val="hybridMultilevel"/>
    <w:tmpl w:val="E8B4034E"/>
    <w:lvl w:ilvl="0" w:tplc="AD7CE6FC">
      <w:start w:val="6"/>
      <w:numFmt w:val="bullet"/>
      <w:lvlText w:val="•"/>
      <w:lvlJc w:val="left"/>
      <w:pPr>
        <w:ind w:left="413"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5F1EB3"/>
    <w:multiLevelType w:val="hybridMultilevel"/>
    <w:tmpl w:val="ED0EF72A"/>
    <w:lvl w:ilvl="0" w:tplc="AD7CE6FC">
      <w:start w:val="6"/>
      <w:numFmt w:val="bullet"/>
      <w:lvlText w:val="•"/>
      <w:lvlJc w:val="left"/>
      <w:pPr>
        <w:ind w:left="413"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16B49"/>
    <w:multiLevelType w:val="hybridMultilevel"/>
    <w:tmpl w:val="353CAEC6"/>
    <w:lvl w:ilvl="0" w:tplc="AD7CE6FC">
      <w:start w:val="6"/>
      <w:numFmt w:val="bullet"/>
      <w:lvlText w:val="•"/>
      <w:lvlJc w:val="left"/>
      <w:pPr>
        <w:ind w:left="413"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356740"/>
    <w:multiLevelType w:val="hybridMultilevel"/>
    <w:tmpl w:val="9AC03FB4"/>
    <w:lvl w:ilvl="0" w:tplc="AD7CE6FC">
      <w:start w:val="6"/>
      <w:numFmt w:val="bullet"/>
      <w:lvlText w:val="•"/>
      <w:lvlJc w:val="left"/>
      <w:pPr>
        <w:ind w:left="413"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14531C"/>
    <w:multiLevelType w:val="hybridMultilevel"/>
    <w:tmpl w:val="44CEE632"/>
    <w:lvl w:ilvl="0" w:tplc="AD7CE6FC">
      <w:start w:val="6"/>
      <w:numFmt w:val="bullet"/>
      <w:lvlText w:val="•"/>
      <w:lvlJc w:val="left"/>
      <w:pPr>
        <w:ind w:left="413"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70578B"/>
    <w:multiLevelType w:val="hybridMultilevel"/>
    <w:tmpl w:val="6762A4C2"/>
    <w:lvl w:ilvl="0" w:tplc="AD7CE6FC">
      <w:start w:val="6"/>
      <w:numFmt w:val="bullet"/>
      <w:lvlText w:val="•"/>
      <w:lvlJc w:val="left"/>
      <w:pPr>
        <w:ind w:left="413"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7"/>
  </w:num>
  <w:num w:numId="4">
    <w:abstractNumId w:val="9"/>
  </w:num>
  <w:num w:numId="5">
    <w:abstractNumId w:val="13"/>
  </w:num>
  <w:num w:numId="6">
    <w:abstractNumId w:val="11"/>
  </w:num>
  <w:num w:numId="7">
    <w:abstractNumId w:val="6"/>
  </w:num>
  <w:num w:numId="8">
    <w:abstractNumId w:val="4"/>
  </w:num>
  <w:num w:numId="9">
    <w:abstractNumId w:val="2"/>
  </w:num>
  <w:num w:numId="10">
    <w:abstractNumId w:val="16"/>
  </w:num>
  <w:num w:numId="11">
    <w:abstractNumId w:val="3"/>
  </w:num>
  <w:num w:numId="12">
    <w:abstractNumId w:val="5"/>
  </w:num>
  <w:num w:numId="13">
    <w:abstractNumId w:val="8"/>
  </w:num>
  <w:num w:numId="14">
    <w:abstractNumId w:val="15"/>
  </w:num>
  <w:num w:numId="15">
    <w:abstractNumId w:val="14"/>
  </w:num>
  <w:num w:numId="16">
    <w:abstractNumId w:val="12"/>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8A4FF-A5D1-4DB6-87B8-EF60E229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36"/>
        <w:lang w:val="en-US" w:eastAsia="en-US" w:bidi="km-K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22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Acleda</dc:creator>
  <cp:keywords/>
  <dc:description/>
  <cp:lastModifiedBy>Acleda</cp:lastModifiedBy>
  <cp:revision>13</cp:revision>
  <dcterms:created xsi:type="dcterms:W3CDTF">2025-12-09T01:09:00Z</dcterms:created>
  <dcterms:modified xsi:type="dcterms:W3CDTF">2026-01-23T09:12:00Z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DRClass">
    <vt:lpwstr>0</vt:lpwstr>
  </property>
  <property fmtid="{D5CDD505-2E9C-101B-9397-08002B2CF9AE}" pid="3" name="FDRSet">
    <vt:lpwstr>manual</vt:lpwstr>
  </property>
</Properties>
</file>